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970"/>
      </w:tblGrid>
      <w:tr w:rsidR="00CE47E0" w:rsidRPr="006A1D68" w14:paraId="10EA716A" w14:textId="77777777" w:rsidTr="001150F9">
        <w:trPr>
          <w:trHeight w:val="983"/>
        </w:trPr>
        <w:tc>
          <w:tcPr>
            <w:tcW w:w="9780" w:type="dxa"/>
            <w:gridSpan w:val="2"/>
            <w:shd w:val="clear" w:color="auto" w:fill="EAF0DD"/>
          </w:tcPr>
          <w:p w14:paraId="596CEE6D" w14:textId="77777777" w:rsidR="00CE47E0" w:rsidRPr="00DA3A5A" w:rsidRDefault="00F27028" w:rsidP="00F27028">
            <w:pPr>
              <w:pStyle w:val="Overskrift1"/>
              <w:outlineLvl w:val="0"/>
            </w:pPr>
            <w:r>
              <w:t xml:space="preserve"> </w:t>
            </w:r>
            <w:r w:rsidR="00CE47E0" w:rsidRPr="00DA3A5A">
              <w:t>Skabelon til artikler, cases eller redskaber på emu.dk</w:t>
            </w:r>
          </w:p>
          <w:p w14:paraId="47DD53F3" w14:textId="5E5968BD" w:rsidR="00CE47E0" w:rsidRPr="00DA3A5A" w:rsidRDefault="00CE47E0" w:rsidP="00E47E72">
            <w:pPr>
              <w:pStyle w:val="TableParagraph"/>
              <w:spacing w:before="2"/>
              <w:ind w:right="112"/>
              <w:rPr>
                <w:rFonts w:asciiTheme="majorHAnsi" w:hAnsiTheme="majorHAnsi" w:cstheme="majorHAnsi"/>
              </w:rPr>
            </w:pPr>
          </w:p>
        </w:tc>
      </w:tr>
      <w:tr w:rsidR="00CE47E0" w:rsidRPr="00DA3A5A" w14:paraId="5AFD1BEB" w14:textId="77777777" w:rsidTr="006B31A7">
        <w:trPr>
          <w:trHeight w:val="823"/>
        </w:trPr>
        <w:tc>
          <w:tcPr>
            <w:tcW w:w="1810" w:type="dxa"/>
            <w:shd w:val="clear" w:color="auto" w:fill="EAF0DD"/>
          </w:tcPr>
          <w:p w14:paraId="0D0DA4B6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Titel </w:t>
            </w:r>
          </w:p>
          <w:p w14:paraId="5F748C3E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</w:rPr>
            </w:pPr>
            <w:r w:rsidRPr="00DA3A5A">
              <w:rPr>
                <w:rFonts w:asciiTheme="majorHAnsi" w:hAnsiTheme="majorHAnsi" w:cstheme="majorHAnsi"/>
              </w:rPr>
              <w:t>Max 75 anslag inkl. mellemrum.</w:t>
            </w:r>
          </w:p>
          <w:p w14:paraId="15351439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67E593D4" w14:textId="7F78C4FF" w:rsidR="009B223B" w:rsidRPr="001150F9" w:rsidRDefault="009B223B" w:rsidP="00B61790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50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Thinglink kan </w:t>
            </w:r>
            <w:r w:rsidR="00C77C04" w:rsidRPr="001150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inspirere</w:t>
            </w:r>
            <w:r w:rsidR="002A79B5" w:rsidRPr="001150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udvikling af opgaver til</w:t>
            </w:r>
            <w:r w:rsidR="00C77C04" w:rsidRPr="001150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matematikundervisningen</w:t>
            </w:r>
          </w:p>
          <w:p w14:paraId="30557F30" w14:textId="572A58DB" w:rsidR="00CE47E0" w:rsidRPr="001150F9" w:rsidRDefault="00CE47E0" w:rsidP="00D411F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E47E0" w:rsidRPr="00DA3A5A" w14:paraId="1E7C7B13" w14:textId="77777777" w:rsidTr="00E47E72">
        <w:trPr>
          <w:trHeight w:val="1652"/>
        </w:trPr>
        <w:tc>
          <w:tcPr>
            <w:tcW w:w="1810" w:type="dxa"/>
            <w:shd w:val="clear" w:color="auto" w:fill="EAF0DD"/>
          </w:tcPr>
          <w:p w14:paraId="3B24EB26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Manchet </w:t>
            </w:r>
          </w:p>
          <w:p w14:paraId="125DF669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</w:rPr>
            </w:pPr>
            <w:r w:rsidRPr="00DA3A5A">
              <w:rPr>
                <w:rFonts w:asciiTheme="majorHAnsi" w:hAnsiTheme="majorHAnsi" w:cstheme="majorHAnsi"/>
              </w:rPr>
              <w:t xml:space="preserve">Max </w:t>
            </w:r>
            <w:r>
              <w:rPr>
                <w:rFonts w:asciiTheme="majorHAnsi" w:hAnsiTheme="majorHAnsi" w:cstheme="majorHAnsi"/>
              </w:rPr>
              <w:t>210</w:t>
            </w:r>
            <w:r w:rsidRPr="00DA3A5A">
              <w:rPr>
                <w:rFonts w:asciiTheme="majorHAnsi" w:hAnsiTheme="majorHAnsi" w:cstheme="majorHAnsi"/>
              </w:rPr>
              <w:t xml:space="preserve"> anslag inkl.</w:t>
            </w:r>
            <w:r w:rsidRPr="00DA3A5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DA3A5A">
              <w:rPr>
                <w:rFonts w:asciiTheme="majorHAnsi" w:hAnsiTheme="majorHAnsi" w:cstheme="majorHAnsi"/>
              </w:rPr>
              <w:t>mellemrum.</w:t>
            </w:r>
          </w:p>
          <w:p w14:paraId="39C2D94F" w14:textId="77777777" w:rsidR="00CE47E0" w:rsidRPr="00DA3A5A" w:rsidRDefault="00CE47E0" w:rsidP="00E47E72">
            <w:pPr>
              <w:pStyle w:val="TableParagraph"/>
              <w:spacing w:before="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5CCCFA3F" w14:textId="7E168E81" w:rsidR="002A2DE8" w:rsidRDefault="002A2DE8" w:rsidP="00F63831">
            <w:pPr>
              <w:pStyle w:val="TableParagraph"/>
              <w:tabs>
                <w:tab w:val="left" w:pos="829"/>
              </w:tabs>
              <w:ind w:left="207" w:right="221"/>
              <w:rPr>
                <w:rFonts w:asciiTheme="minorHAnsi" w:hAnsiTheme="minorHAnsi" w:cstheme="minorHAnsi"/>
                <w:color w:val="59656F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Matematikundervisning </w:t>
            </w:r>
            <w:r w:rsidRPr="005D7917">
              <w:rPr>
                <w:rFonts w:asciiTheme="minorHAnsi" w:hAnsiTheme="minorHAnsi" w:cstheme="minorHAnsi"/>
                <w:sz w:val="24"/>
                <w:szCs w:val="24"/>
              </w:rPr>
              <w:t xml:space="preserve">med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interaktiv </w:t>
            </w:r>
            <w:r w:rsidRPr="005D7917">
              <w:rPr>
                <w:rFonts w:asciiTheme="minorHAnsi" w:hAnsiTheme="minorHAnsi" w:cstheme="minorHAnsi"/>
                <w:sz w:val="24"/>
                <w:szCs w:val="24"/>
              </w:rPr>
              <w:t>brug af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billeder og videoer i</w:t>
            </w:r>
            <w:r w:rsidRPr="005D7917">
              <w:rPr>
                <w:rFonts w:asciiTheme="minorHAnsi" w:hAnsiTheme="minorHAnsi" w:cstheme="minorHAnsi"/>
                <w:sz w:val="24"/>
                <w:szCs w:val="24"/>
              </w:rPr>
              <w:t xml:space="preserve"> Thinglink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kan engagere elever på erhvervsuddannelserne på nye måder</w:t>
            </w:r>
            <w:r w:rsidR="00D411F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36E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505C">
              <w:rPr>
                <w:rFonts w:asciiTheme="minorHAnsi" w:hAnsiTheme="minorHAnsi" w:cstheme="minorHAnsi"/>
                <w:sz w:val="24"/>
                <w:szCs w:val="24"/>
              </w:rPr>
              <w:t xml:space="preserve">Læs her om erfaringerne fra </w:t>
            </w:r>
            <w:r w:rsidR="00BA7E02">
              <w:rPr>
                <w:rFonts w:asciiTheme="minorHAnsi" w:hAnsiTheme="minorHAnsi" w:cstheme="minorHAnsi"/>
                <w:sz w:val="24"/>
                <w:szCs w:val="24"/>
              </w:rPr>
              <w:t xml:space="preserve">matematikundervisningen på </w:t>
            </w:r>
            <w:r w:rsidR="0017505C">
              <w:rPr>
                <w:rFonts w:asciiTheme="minorHAnsi" w:hAnsiTheme="minorHAnsi" w:cstheme="minorHAnsi"/>
                <w:sz w:val="24"/>
                <w:szCs w:val="24"/>
              </w:rPr>
              <w:t>Skive College</w:t>
            </w:r>
            <w:r w:rsidR="00BA7E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82D5758" w14:textId="26B7A2EB" w:rsidR="00B319E8" w:rsidRPr="000F53F6" w:rsidRDefault="00C800AE" w:rsidP="00F63831">
            <w:pPr>
              <w:pStyle w:val="TableParagraph"/>
              <w:tabs>
                <w:tab w:val="left" w:pos="829"/>
              </w:tabs>
              <w:ind w:left="0" w:right="221"/>
              <w:rPr>
                <w:rFonts w:asciiTheme="minorHAnsi" w:hAnsiTheme="minorHAnsi" w:cstheme="minorHAnsi"/>
                <w:color w:val="59656F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59656F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E47E0" w:rsidRPr="00DA3A5A" w14:paraId="54BED0F2" w14:textId="77777777" w:rsidTr="00E47E72">
        <w:trPr>
          <w:trHeight w:val="2269"/>
        </w:trPr>
        <w:tc>
          <w:tcPr>
            <w:tcW w:w="1810" w:type="dxa"/>
            <w:shd w:val="clear" w:color="auto" w:fill="EAF0DD"/>
          </w:tcPr>
          <w:p w14:paraId="288A52E8" w14:textId="77777777" w:rsidR="00CE47E0" w:rsidRPr="00EE4B98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EE4B98">
              <w:rPr>
                <w:rFonts w:asciiTheme="majorHAnsi" w:hAnsiTheme="majorHAnsi" w:cstheme="majorHAnsi"/>
                <w:b/>
              </w:rPr>
              <w:t>Brødtekst</w:t>
            </w:r>
          </w:p>
          <w:p w14:paraId="5D9B614D" w14:textId="77777777" w:rsidR="00CE47E0" w:rsidRPr="00DA3A5A" w:rsidRDefault="00CE47E0" w:rsidP="006963E4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7397A6B2" w14:textId="1F7F192C" w:rsidR="005E5564" w:rsidRPr="00B234A5" w:rsidRDefault="00B234A5" w:rsidP="0057787F">
            <w:p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34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Eksempel på brugen af Thinglink i matematik på Skive college</w:t>
            </w:r>
          </w:p>
          <w:p w14:paraId="64776DA1" w14:textId="67F43B1A" w:rsidR="001F0D2B" w:rsidRDefault="00C94E73" w:rsidP="0057787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2662F4">
              <w:rPr>
                <w:rFonts w:asciiTheme="minorHAnsi" w:hAnsiTheme="minorHAnsi" w:cstheme="minorHAnsi"/>
                <w:sz w:val="24"/>
                <w:szCs w:val="24"/>
              </w:rPr>
              <w:t>Søren Madsen</w:t>
            </w:r>
            <w:r w:rsidR="008C24CB">
              <w:rPr>
                <w:rFonts w:asciiTheme="minorHAnsi" w:hAnsiTheme="minorHAnsi" w:cstheme="minorHAnsi"/>
                <w:sz w:val="24"/>
                <w:szCs w:val="24"/>
              </w:rPr>
              <w:t xml:space="preserve"> fra </w:t>
            </w:r>
            <w:r w:rsidR="008825DC">
              <w:rPr>
                <w:rFonts w:asciiTheme="minorHAnsi" w:hAnsiTheme="minorHAnsi" w:cstheme="minorHAnsi"/>
                <w:sz w:val="24"/>
                <w:szCs w:val="24"/>
              </w:rPr>
              <w:t xml:space="preserve">Træfagenes </w:t>
            </w:r>
            <w:r w:rsidR="00BB4411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8825DC">
              <w:rPr>
                <w:rFonts w:asciiTheme="minorHAnsi" w:hAnsiTheme="minorHAnsi" w:cstheme="minorHAnsi"/>
                <w:sz w:val="24"/>
                <w:szCs w:val="24"/>
              </w:rPr>
              <w:t xml:space="preserve">yggeuddannelse </w:t>
            </w:r>
            <w:r w:rsidR="00C0325D">
              <w:rPr>
                <w:rFonts w:asciiTheme="minorHAnsi" w:hAnsiTheme="minorHAnsi" w:cstheme="minorHAnsi"/>
                <w:sz w:val="24"/>
                <w:szCs w:val="24"/>
              </w:rPr>
              <w:t xml:space="preserve">på </w:t>
            </w:r>
            <w:r w:rsidRPr="002662F4">
              <w:rPr>
                <w:rFonts w:asciiTheme="minorHAnsi" w:hAnsiTheme="minorHAnsi" w:cstheme="minorHAnsi"/>
                <w:sz w:val="24"/>
                <w:szCs w:val="24"/>
              </w:rPr>
              <w:t>Skive College</w:t>
            </w:r>
            <w:r w:rsidR="008C24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7517">
              <w:rPr>
                <w:rFonts w:asciiTheme="minorHAnsi" w:hAnsiTheme="minorHAnsi" w:cstheme="minorHAnsi"/>
                <w:sz w:val="24"/>
                <w:szCs w:val="24"/>
              </w:rPr>
              <w:t>bruge</w:t>
            </w:r>
            <w:r w:rsidR="00DD1A98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CA7517">
              <w:rPr>
                <w:rFonts w:asciiTheme="minorHAnsi" w:hAnsiTheme="minorHAnsi" w:cstheme="minorHAnsi"/>
                <w:sz w:val="24"/>
                <w:szCs w:val="24"/>
              </w:rPr>
              <w:t xml:space="preserve"> Thinglink i matematikundervisningen</w:t>
            </w:r>
            <w:r w:rsidR="00104B36">
              <w:rPr>
                <w:rFonts w:asciiTheme="minorHAnsi" w:hAnsiTheme="minorHAnsi" w:cstheme="minorHAnsi"/>
                <w:sz w:val="24"/>
                <w:szCs w:val="24"/>
              </w:rPr>
              <w:t xml:space="preserve">, så </w:t>
            </w:r>
            <w:r w:rsidR="0044021F">
              <w:rPr>
                <w:rFonts w:asciiTheme="minorHAnsi" w:hAnsiTheme="minorHAnsi" w:cstheme="minorHAnsi"/>
                <w:sz w:val="24"/>
                <w:szCs w:val="24"/>
              </w:rPr>
              <w:t xml:space="preserve">den bliver mere inspirerende for eleverne. </w:t>
            </w:r>
            <w:r w:rsidR="00DE44BD">
              <w:rPr>
                <w:rFonts w:asciiTheme="minorHAnsi" w:hAnsiTheme="minorHAnsi" w:cstheme="minorHAnsi"/>
                <w:sz w:val="24"/>
                <w:szCs w:val="24"/>
              </w:rPr>
              <w:t xml:space="preserve">Han har konstateret, at eleverne bliver mere motiverede for </w:t>
            </w:r>
            <w:r w:rsidR="009117A1">
              <w:rPr>
                <w:rFonts w:asciiTheme="minorHAnsi" w:hAnsiTheme="minorHAnsi" w:cstheme="minorHAnsi"/>
                <w:sz w:val="24"/>
                <w:szCs w:val="24"/>
              </w:rPr>
              <w:t>matematik</w:t>
            </w:r>
            <w:r w:rsidR="00DE44BD">
              <w:rPr>
                <w:rFonts w:asciiTheme="minorHAnsi" w:hAnsiTheme="minorHAnsi" w:cstheme="minorHAnsi"/>
                <w:sz w:val="24"/>
                <w:szCs w:val="24"/>
              </w:rPr>
              <w:t xml:space="preserve">undervisningen, når de </w:t>
            </w:r>
            <w:r w:rsidR="009117A1">
              <w:rPr>
                <w:rFonts w:asciiTheme="minorHAnsi" w:hAnsiTheme="minorHAnsi" w:cstheme="minorHAnsi"/>
                <w:sz w:val="24"/>
                <w:szCs w:val="24"/>
              </w:rPr>
              <w:t xml:space="preserve">har arbejdet med programmet i undervisningen. </w:t>
            </w:r>
          </w:p>
          <w:p w14:paraId="00170E83" w14:textId="24E47586" w:rsidR="004F2B8E" w:rsidRDefault="004F2B8E" w:rsidP="0057787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D68C6" w14:textId="29B78045" w:rsidR="00203AA9" w:rsidRPr="00203AA9" w:rsidRDefault="00203AA9" w:rsidP="0057787F">
            <w:p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3A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Grundlæggende overvejelser ved brugen af Thinglink </w:t>
            </w:r>
          </w:p>
          <w:p w14:paraId="4845CC66" w14:textId="2CA22BCF" w:rsidR="00C30C32" w:rsidRPr="00392D24" w:rsidRDefault="00337F82" w:rsidP="0057787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Brugen af </w:t>
            </w:r>
            <w:r w:rsidR="00AA0269" w:rsidRPr="00392D24">
              <w:rPr>
                <w:rFonts w:asciiTheme="minorHAnsi" w:hAnsiTheme="minorHAnsi" w:cstheme="minorHAnsi"/>
                <w:sz w:val="24"/>
                <w:szCs w:val="24"/>
              </w:rPr>
              <w:t>Thinglink</w:t>
            </w:r>
            <w:r w:rsidR="00AE48E5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 i matematik</w:t>
            </w:r>
            <w:r w:rsidR="00C30C32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48E5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skal – ligesom det gælder for andre digitale teknologier - </w:t>
            </w:r>
            <w:r w:rsidR="00C30C32" w:rsidRPr="00392D24">
              <w:rPr>
                <w:rFonts w:asciiTheme="minorHAnsi" w:hAnsiTheme="minorHAnsi" w:cstheme="minorHAnsi"/>
                <w:sz w:val="24"/>
                <w:szCs w:val="24"/>
              </w:rPr>
              <w:t>tænkes ind i en pædagogisk-didaktisk sammenhæng. Det betyder</w:t>
            </w:r>
            <w:r w:rsidR="00F80EF1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 blandt andet</w:t>
            </w:r>
            <w:r w:rsidR="00C30C32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, at der skal være et mål med anvendelsen af </w:t>
            </w:r>
            <w:r w:rsidR="00AA0269" w:rsidRPr="00392D24">
              <w:rPr>
                <w:rFonts w:asciiTheme="minorHAnsi" w:hAnsiTheme="minorHAnsi" w:cstheme="minorHAnsi"/>
                <w:sz w:val="24"/>
                <w:szCs w:val="24"/>
              </w:rPr>
              <w:t>Thinglink</w:t>
            </w:r>
            <w:r w:rsidR="00C30C32" w:rsidRPr="00392D24">
              <w:rPr>
                <w:rFonts w:asciiTheme="minorHAnsi" w:hAnsiTheme="minorHAnsi" w:cstheme="minorHAnsi"/>
                <w:sz w:val="24"/>
                <w:szCs w:val="24"/>
              </w:rPr>
              <w:t>, som hænger tydeligt sammen med de overordnede mål for undervisningen</w:t>
            </w:r>
            <w:r w:rsidR="000326C4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B6C8DE9" w14:textId="77777777" w:rsidR="00C30C32" w:rsidRPr="00392D24" w:rsidRDefault="00C30C32" w:rsidP="0057787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8BFD3" w14:textId="7AF6B900" w:rsidR="00B71D1C" w:rsidRPr="00392D24" w:rsidRDefault="000A745D" w:rsidP="0057787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På denne baggrund kan </w:t>
            </w:r>
            <w:r w:rsidR="00AA6AAA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Thinglink </w:t>
            </w:r>
            <w:r w:rsidR="00B53AFE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både </w:t>
            </w:r>
            <w:r w:rsidR="00A61AD2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bruges til at gøre </w:t>
            </w:r>
            <w:r w:rsidR="00195A3C" w:rsidRPr="00392D24">
              <w:rPr>
                <w:rFonts w:asciiTheme="minorHAnsi" w:hAnsiTheme="minorHAnsi" w:cstheme="minorHAnsi"/>
                <w:sz w:val="24"/>
                <w:szCs w:val="24"/>
              </w:rPr>
              <w:t>matematikundervisningen mere praksisnær</w:t>
            </w:r>
            <w:r w:rsidR="00B53AFE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5F85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og </w:t>
            </w:r>
            <w:r w:rsidR="00B2531B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programmet kan bruges til at </w:t>
            </w:r>
            <w:r w:rsidR="008B72A1" w:rsidRPr="00392D24">
              <w:rPr>
                <w:rFonts w:asciiTheme="minorHAnsi" w:hAnsiTheme="minorHAnsi" w:cstheme="minorHAnsi"/>
                <w:sz w:val="24"/>
                <w:szCs w:val="24"/>
              </w:rPr>
              <w:t>gøre billeder og videoer interaktive</w:t>
            </w:r>
            <w:r w:rsidR="00CB10A0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62435BA" w14:textId="4831C2EE" w:rsidR="00B71D1C" w:rsidRDefault="00B71D1C" w:rsidP="0057787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AE18E" w14:textId="29D0FEBD" w:rsidR="00717E36" w:rsidRPr="00CD070F" w:rsidRDefault="00842413" w:rsidP="00CD070F">
            <w:p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07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Gør matematikundervisningen mere praksisnær</w:t>
            </w:r>
          </w:p>
          <w:p w14:paraId="2FC0E473" w14:textId="77777777" w:rsidR="005119F1" w:rsidRPr="00392D24" w:rsidRDefault="005119F1" w:rsidP="00CD070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Virkeligheden og matematikken opleves af mange elever som to forskellige verdener. De to verdener kan dog kobles gennem en reflekteret brug af Thinglink for at gøre undervisningen i klasselokalet mere praksisnær. En stor del, men ikke alle, matematiske kompetencer, kan bringes i spil på den måde. </w:t>
            </w:r>
          </w:p>
          <w:p w14:paraId="0C691CCD" w14:textId="378296D3" w:rsidR="00FB294E" w:rsidRPr="00392D24" w:rsidRDefault="00FB294E" w:rsidP="009C642E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1E77A" w14:textId="659B7FA4" w:rsidR="00175625" w:rsidRPr="00A360E0" w:rsidRDefault="007C5BF9" w:rsidP="002255C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75625">
              <w:rPr>
                <w:rFonts w:asciiTheme="minorHAnsi" w:hAnsiTheme="minorHAnsi" w:cstheme="minorHAnsi"/>
                <w:sz w:val="24"/>
                <w:szCs w:val="24"/>
              </w:rPr>
              <w:t>å nogen uddannelser</w:t>
            </w:r>
            <w:r w:rsidR="00C444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7902">
              <w:rPr>
                <w:rFonts w:asciiTheme="minorHAnsi" w:hAnsiTheme="minorHAnsi" w:cstheme="minorHAnsi"/>
                <w:sz w:val="24"/>
                <w:szCs w:val="24"/>
              </w:rPr>
              <w:t>er det</w:t>
            </w:r>
            <w:r w:rsidR="00C4447F">
              <w:rPr>
                <w:rFonts w:asciiTheme="minorHAnsi" w:hAnsiTheme="minorHAnsi" w:cstheme="minorHAnsi"/>
                <w:sz w:val="24"/>
                <w:szCs w:val="24"/>
              </w:rPr>
              <w:t xml:space="preserve"> oplagt at anvende</w:t>
            </w:r>
            <w:r w:rsidR="00392D24"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76E1">
              <w:rPr>
                <w:rFonts w:asciiTheme="minorHAnsi" w:hAnsiTheme="minorHAnsi" w:cstheme="minorHAnsi"/>
                <w:sz w:val="24"/>
                <w:szCs w:val="24"/>
              </w:rPr>
              <w:t xml:space="preserve">videoer eller </w:t>
            </w:r>
            <w:r w:rsidR="00392D24" w:rsidRPr="00392D24">
              <w:rPr>
                <w:rFonts w:asciiTheme="minorHAnsi" w:hAnsiTheme="minorHAnsi" w:cstheme="minorHAnsi"/>
                <w:sz w:val="24"/>
                <w:szCs w:val="24"/>
              </w:rPr>
              <w:t>360°-billeder</w:t>
            </w:r>
            <w:r w:rsidR="001756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447F">
              <w:rPr>
                <w:rFonts w:asciiTheme="minorHAnsi" w:hAnsiTheme="minorHAnsi" w:cstheme="minorHAnsi"/>
                <w:sz w:val="24"/>
                <w:szCs w:val="24"/>
              </w:rPr>
              <w:t xml:space="preserve">fra lokationer i praksis, </w:t>
            </w:r>
            <w:r w:rsidR="004553BC">
              <w:rPr>
                <w:rFonts w:asciiTheme="minorHAnsi" w:hAnsiTheme="minorHAnsi" w:cstheme="minorHAnsi"/>
                <w:sz w:val="24"/>
                <w:szCs w:val="24"/>
              </w:rPr>
              <w:t>hvor matematikken skal sættes i spil, men</w:t>
            </w:r>
            <w:r w:rsidR="009848C2">
              <w:rPr>
                <w:rFonts w:asciiTheme="minorHAnsi" w:hAnsiTheme="minorHAnsi" w:cstheme="minorHAnsi"/>
                <w:sz w:val="24"/>
                <w:szCs w:val="24"/>
              </w:rPr>
              <w:t xml:space="preserve"> hvor det samtidigt </w:t>
            </w:r>
            <w:r w:rsidR="00C4447F">
              <w:rPr>
                <w:rFonts w:asciiTheme="minorHAnsi" w:hAnsiTheme="minorHAnsi" w:cstheme="minorHAnsi"/>
                <w:sz w:val="24"/>
                <w:szCs w:val="24"/>
              </w:rPr>
              <w:t>er svært for eleverne at få adgang til</w:t>
            </w:r>
            <w:r w:rsidR="00AD648C">
              <w:rPr>
                <w:rFonts w:asciiTheme="minorHAnsi" w:hAnsiTheme="minorHAnsi" w:cstheme="minorHAnsi"/>
                <w:sz w:val="24"/>
                <w:szCs w:val="24"/>
              </w:rPr>
              <w:t xml:space="preserve"> lokationen</w:t>
            </w:r>
            <w:r w:rsidR="009848C2">
              <w:rPr>
                <w:rFonts w:asciiTheme="minorHAnsi" w:hAnsiTheme="minorHAnsi" w:cstheme="minorHAnsi"/>
                <w:sz w:val="24"/>
                <w:szCs w:val="24"/>
              </w:rPr>
              <w:t xml:space="preserve">. Det kan </w:t>
            </w:r>
            <w:r w:rsidR="00B22CF9">
              <w:rPr>
                <w:rFonts w:asciiTheme="minorHAnsi" w:hAnsiTheme="minorHAnsi" w:cstheme="minorHAnsi"/>
                <w:sz w:val="24"/>
                <w:szCs w:val="24"/>
              </w:rPr>
              <w:t>for eksempel</w:t>
            </w:r>
            <w:r w:rsidR="009848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55CF" w:rsidRPr="00A360E0">
              <w:rPr>
                <w:rFonts w:asciiTheme="minorHAnsi" w:hAnsiTheme="minorHAnsi" w:cstheme="minorHAnsi"/>
                <w:sz w:val="24"/>
                <w:szCs w:val="24"/>
              </w:rPr>
              <w:t xml:space="preserve">dreje sig om tilfælde, hvor </w:t>
            </w:r>
            <w:r w:rsidR="009075CE" w:rsidRPr="00A360E0">
              <w:rPr>
                <w:rFonts w:asciiTheme="minorHAnsi" w:hAnsiTheme="minorHAnsi" w:cstheme="minorHAnsi"/>
                <w:sz w:val="24"/>
                <w:szCs w:val="24"/>
              </w:rPr>
              <w:t>eleverne</w:t>
            </w:r>
            <w:r w:rsidR="007C53F7" w:rsidRPr="00A360E0">
              <w:rPr>
                <w:rFonts w:asciiTheme="minorHAnsi" w:hAnsiTheme="minorHAnsi" w:cstheme="minorHAnsi"/>
                <w:sz w:val="24"/>
                <w:szCs w:val="24"/>
              </w:rPr>
              <w:t xml:space="preserve"> på grund af manglende </w:t>
            </w:r>
            <w:r w:rsidR="00B22BCC" w:rsidRPr="00A360E0">
              <w:rPr>
                <w:rFonts w:asciiTheme="minorHAnsi" w:hAnsiTheme="minorHAnsi" w:cstheme="minorHAnsi"/>
                <w:sz w:val="24"/>
                <w:szCs w:val="24"/>
              </w:rPr>
              <w:t xml:space="preserve">viden og </w:t>
            </w:r>
            <w:r w:rsidR="007C53F7" w:rsidRPr="00A360E0">
              <w:rPr>
                <w:rFonts w:asciiTheme="minorHAnsi" w:hAnsiTheme="minorHAnsi" w:cstheme="minorHAnsi"/>
                <w:sz w:val="24"/>
                <w:szCs w:val="24"/>
              </w:rPr>
              <w:t>erfaring</w:t>
            </w:r>
            <w:r w:rsidR="009075CE" w:rsidRPr="00A360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3F7" w:rsidRPr="00A360E0">
              <w:rPr>
                <w:rFonts w:asciiTheme="minorHAnsi" w:hAnsiTheme="minorHAnsi" w:cstheme="minorHAnsi"/>
                <w:sz w:val="24"/>
                <w:szCs w:val="24"/>
              </w:rPr>
              <w:t>risikerer at ødelægge</w:t>
            </w:r>
            <w:r w:rsidR="009075CE" w:rsidRPr="00A360E0">
              <w:rPr>
                <w:rFonts w:asciiTheme="minorHAnsi" w:hAnsiTheme="minorHAnsi" w:cstheme="minorHAnsi"/>
                <w:sz w:val="24"/>
                <w:szCs w:val="24"/>
              </w:rPr>
              <w:t xml:space="preserve"> meget dyre maskiner</w:t>
            </w:r>
            <w:r w:rsidR="007C53F7" w:rsidRPr="00A360E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4D0368" w:rsidRPr="00A360E0">
              <w:rPr>
                <w:rFonts w:asciiTheme="minorHAnsi" w:hAnsiTheme="minorHAnsi" w:cstheme="minorHAnsi"/>
                <w:sz w:val="24"/>
                <w:szCs w:val="24"/>
              </w:rPr>
              <w:t>virksomhederne, når de er i praktik</w:t>
            </w:r>
            <w:r w:rsidR="007C53F7" w:rsidRPr="00A360E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452921F" w14:textId="77777777" w:rsidR="00BA76E1" w:rsidRPr="00A360E0" w:rsidRDefault="00BA76E1" w:rsidP="009C642E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08093E" w14:textId="49B7557B" w:rsidR="00FB294E" w:rsidRPr="00A360E0" w:rsidRDefault="00FB294E" w:rsidP="00A360E0">
            <w:pPr>
              <w:pStyle w:val="Opstilling-talellerbogst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60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Gør videoer og billeder med matematisk indhold mere interaktive</w:t>
            </w:r>
          </w:p>
          <w:p w14:paraId="50A83C4E" w14:textId="77777777" w:rsidR="00634F71" w:rsidRDefault="00025851" w:rsidP="00634F71">
            <w:pPr>
              <w:pStyle w:val="Opstilling-talellerbogst"/>
              <w:numPr>
                <w:ilvl w:val="0"/>
                <w:numId w:val="0"/>
              </w:numPr>
              <w:ind w:left="207"/>
              <w:rPr>
                <w:rStyle w:val="y2iqfc"/>
                <w:rFonts w:asciiTheme="minorHAnsi" w:hAnsiTheme="minorHAnsi" w:cstheme="minorHAnsi"/>
                <w:sz w:val="24"/>
                <w:szCs w:val="24"/>
              </w:rPr>
            </w:pPr>
            <w:r w:rsidRPr="00A360E0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Gør </w:t>
            </w:r>
            <w:r w:rsidR="002D09C6" w:rsidRPr="00A360E0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videoer med foredrag interaktive. </w:t>
            </w:r>
            <w:r w:rsidR="00F216A0" w:rsidRPr="00A360E0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Lærere kan opretholde forbindelser med eleverne ved at tilføje oplysninger og links til optagede forelæsninger og </w:t>
            </w:r>
            <w:r w:rsidR="00F216A0" w:rsidRPr="00A360E0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lastRenderedPageBreak/>
              <w:t>opgaver på mobiltelefoner</w:t>
            </w:r>
            <w:r w:rsidR="00F216A0" w:rsidRPr="00392D24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eller computere. På denne måde kan de forbinde eleverne med forskellige ressourcer, som de normalt ville dele med eleverne i klasseværelset.</w:t>
            </w:r>
            <w:r w:rsidR="00634F71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DCCE05" w14:textId="77777777" w:rsidR="00634F71" w:rsidRPr="00506F2E" w:rsidRDefault="00634F71" w:rsidP="00634F71">
            <w:pPr>
              <w:pStyle w:val="Opstilling-talellerbogst"/>
              <w:numPr>
                <w:ilvl w:val="0"/>
                <w:numId w:val="0"/>
              </w:numPr>
              <w:ind w:left="207"/>
              <w:rPr>
                <w:rStyle w:val="y2iqfc"/>
                <w:rFonts w:asciiTheme="minorHAnsi" w:hAnsiTheme="minorHAnsi" w:cstheme="minorHAnsi"/>
                <w:sz w:val="24"/>
                <w:szCs w:val="24"/>
              </w:rPr>
            </w:pPr>
          </w:p>
          <w:p w14:paraId="1EFC6E54" w14:textId="7E7A8488" w:rsidR="0048122F" w:rsidRPr="00506F2E" w:rsidRDefault="00506F2E" w:rsidP="00506F2E">
            <w:pPr>
              <w:pStyle w:val="Opstilling-talellerbogst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pacing w:val="7"/>
                <w:sz w:val="24"/>
                <w:szCs w:val="24"/>
              </w:rPr>
            </w:pPr>
            <w:r w:rsidRPr="002059BA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Thinglink </w:t>
            </w:r>
            <w:r w:rsidRPr="002059BA">
              <w:rPr>
                <w:rFonts w:asciiTheme="minorHAnsi" w:hAnsiTheme="minorHAnsi" w:cstheme="minorHAnsi"/>
                <w:sz w:val="24"/>
                <w:szCs w:val="24"/>
              </w:rPr>
              <w:t>giver m</w:t>
            </w:r>
            <w:r w:rsidR="0048122F" w:rsidRPr="002059BA">
              <w:rPr>
                <w:rFonts w:asciiTheme="minorHAnsi" w:hAnsiTheme="minorHAnsi" w:cstheme="minorHAnsi"/>
                <w:sz w:val="24"/>
                <w:szCs w:val="24"/>
              </w:rPr>
              <w:t>ulighed</w:t>
            </w:r>
            <w:r w:rsidR="0048122F" w:rsidRPr="002059B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for</w:t>
            </w:r>
            <w:r w:rsidR="0048122F" w:rsidRPr="00506F2E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at tilføje virtuelle lag med forklaringer til f.eks. skitser og illustrationer, der kan være med til at koble elevernes arbejde i de uddannelsesspecifikke fag med matematikken.</w:t>
            </w:r>
          </w:p>
          <w:p w14:paraId="34B4C0D4" w14:textId="3F0A326B" w:rsidR="000B30B5" w:rsidRPr="00392D24" w:rsidRDefault="000B30B5" w:rsidP="00506F2E">
            <w:pPr>
              <w:pStyle w:val="TableParagraph"/>
              <w:tabs>
                <w:tab w:val="left" w:pos="828"/>
                <w:tab w:val="left" w:pos="829"/>
              </w:tabs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3D00BA" w14:textId="2A6E91A9" w:rsidR="009F7758" w:rsidRPr="00392D24" w:rsidRDefault="00812600" w:rsidP="00506F2E">
            <w:pPr>
              <w:pStyle w:val="TableParagraph"/>
              <w:tabs>
                <w:tab w:val="left" w:pos="828"/>
                <w:tab w:val="left" w:pos="829"/>
              </w:tabs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D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 i gang her…</w:t>
            </w:r>
          </w:p>
          <w:p w14:paraId="3B7C9833" w14:textId="4213643C" w:rsidR="00FE125B" w:rsidRDefault="0034186B" w:rsidP="00506F2E">
            <w:pPr>
              <w:pStyle w:val="TableParagraph"/>
              <w:tabs>
                <w:tab w:val="left" w:pos="828"/>
                <w:tab w:val="left" w:pos="829"/>
              </w:tabs>
              <w:ind w:left="207"/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 xml:space="preserve">Hvis man som matematiklærer </w:t>
            </w:r>
            <w:r w:rsidR="00AA2708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 xml:space="preserve">har gjort sig </w:t>
            </w:r>
            <w:r w:rsidR="00C4485D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 xml:space="preserve">nogle reflekterede pædagogisk-didaktiske overvejelser om, hvordan Thinglink kan </w:t>
            </w:r>
            <w:r w:rsidR="000E3AE6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>inspirere</w:t>
            </w:r>
            <w:r w:rsidR="00C4485D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 xml:space="preserve"> </w:t>
            </w:r>
            <w:r w:rsidR="000E3AE6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>opgaver i faget til bedre læring for eleverne, kan man komme i gang</w:t>
            </w:r>
            <w:r w:rsidR="00EB2CAD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 xml:space="preserve"> her.</w:t>
            </w:r>
          </w:p>
          <w:p w14:paraId="129744FE" w14:textId="77777777" w:rsidR="00FE125B" w:rsidRDefault="00FE125B" w:rsidP="00506F2E">
            <w:pPr>
              <w:pStyle w:val="TableParagraph"/>
              <w:tabs>
                <w:tab w:val="left" w:pos="828"/>
                <w:tab w:val="left" w:pos="829"/>
              </w:tabs>
              <w:ind w:left="207"/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</w:pPr>
          </w:p>
          <w:p w14:paraId="42FF15ED" w14:textId="671EDF42" w:rsidR="007A124B" w:rsidRDefault="009F7758" w:rsidP="00506F2E">
            <w:pPr>
              <w:pStyle w:val="TableParagraph"/>
              <w:tabs>
                <w:tab w:val="left" w:pos="828"/>
                <w:tab w:val="left" w:pos="829"/>
              </w:tabs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392D24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>Thinglink giver unde</w:t>
            </w:r>
            <w:r w:rsidR="002059BA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>rvisere mulighed for at enten at</w:t>
            </w:r>
            <w:r w:rsidRPr="00392D24">
              <w:rPr>
                <w:rFonts w:asciiTheme="minorHAnsi" w:eastAsia="Times New Roman" w:hAnsiTheme="minorHAnsi" w:cstheme="minorHAnsi"/>
                <w:sz w:val="24"/>
                <w:szCs w:val="24"/>
                <w:lang w:eastAsia="da-DK"/>
              </w:rPr>
              <w:t xml:space="preserve"> vælge en gratis konto eller en betalingskonto. En gratis underviserkonto giver underviseren fuld adgang til editoren og derigennem mulighed for at dele digitale billeder, 360-graders billeder og videoer med 1000 visninger om året. </w:t>
            </w:r>
            <w:r w:rsidRPr="00392D24">
              <w:rPr>
                <w:rFonts w:asciiTheme="minorHAnsi" w:hAnsiTheme="minorHAnsi" w:cstheme="minorHAnsi"/>
                <w:sz w:val="24"/>
                <w:szCs w:val="24"/>
              </w:rPr>
              <w:t xml:space="preserve">Læs nærmere og opret en konto, hvis du vil eksperimentere med programmet her: </w:t>
            </w:r>
            <w:hyperlink r:id="rId5" w:history="1">
              <w:r w:rsidR="007A124B" w:rsidRPr="008E693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https://support.thinglink.com/hc/en-us/articles/360022640874</w:t>
              </w:r>
            </w:hyperlink>
            <w:r w:rsidR="007A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0541538" w14:textId="78CD17C9" w:rsidR="00A3360A" w:rsidRPr="00392D24" w:rsidRDefault="00A3360A" w:rsidP="007A124B">
            <w:pPr>
              <w:pStyle w:val="TableParagraph"/>
              <w:tabs>
                <w:tab w:val="left" w:pos="828"/>
                <w:tab w:val="left" w:pos="8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7E0" w:rsidRPr="00DA3A5A" w14:paraId="515DC8FE" w14:textId="77777777" w:rsidTr="00E47E72">
        <w:trPr>
          <w:trHeight w:val="426"/>
        </w:trPr>
        <w:tc>
          <w:tcPr>
            <w:tcW w:w="1810" w:type="dxa"/>
            <w:shd w:val="clear" w:color="auto" w:fill="EAF0DD"/>
          </w:tcPr>
          <w:p w14:paraId="3762B852" w14:textId="77777777" w:rsidR="00CE47E0" w:rsidRPr="00DA3A5A" w:rsidRDefault="00CE47E0" w:rsidP="00E47E72">
            <w:pPr>
              <w:pStyle w:val="TableParagraph"/>
              <w:rPr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lastRenderedPageBreak/>
              <w:t>Kreditering</w:t>
            </w:r>
          </w:p>
        </w:tc>
        <w:tc>
          <w:tcPr>
            <w:tcW w:w="7970" w:type="dxa"/>
          </w:tcPr>
          <w:p w14:paraId="12D01BAB" w14:textId="4E1800AA" w:rsidR="009C5374" w:rsidRPr="002662F4" w:rsidRDefault="009C5374" w:rsidP="00CA04BA">
            <w:pPr>
              <w:pStyle w:val="TableParagraph"/>
              <w:tabs>
                <w:tab w:val="left" w:pos="828"/>
                <w:tab w:val="left" w:pos="8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662F4">
              <w:rPr>
                <w:rFonts w:asciiTheme="minorHAnsi" w:hAnsiTheme="minorHAnsi" w:cstheme="minorHAnsi"/>
                <w:sz w:val="24"/>
                <w:szCs w:val="24"/>
              </w:rPr>
              <w:t>Artiklen er udarbejdet af Jan Christense</w:t>
            </w:r>
            <w:r w:rsidR="00490273" w:rsidRPr="002662F4">
              <w:rPr>
                <w:rFonts w:asciiTheme="minorHAnsi" w:hAnsiTheme="minorHAnsi" w:cstheme="minorHAnsi"/>
                <w:sz w:val="24"/>
                <w:szCs w:val="24"/>
              </w:rPr>
              <w:t>n, Nationalt Center for Erhvervspædagogik</w:t>
            </w:r>
            <w:r w:rsidRPr="002662F4">
              <w:rPr>
                <w:rFonts w:asciiTheme="minorHAnsi" w:hAnsiTheme="minorHAnsi" w:cstheme="minorHAnsi"/>
                <w:sz w:val="24"/>
                <w:szCs w:val="24"/>
              </w:rPr>
              <w:t xml:space="preserve">, Københavns Professionshøjskole, </w:t>
            </w:r>
            <w:r w:rsidR="00031D7B" w:rsidRPr="002662F4">
              <w:rPr>
                <w:rFonts w:asciiTheme="minorHAnsi" w:hAnsiTheme="minorHAnsi" w:cstheme="minorHAnsi"/>
                <w:sz w:val="24"/>
                <w:szCs w:val="24"/>
              </w:rPr>
              <w:t xml:space="preserve">på baggrund af materialer fra </w:t>
            </w:r>
            <w:r w:rsidR="00385DB2" w:rsidRPr="002662F4">
              <w:rPr>
                <w:rFonts w:asciiTheme="minorHAnsi" w:hAnsiTheme="minorHAnsi" w:cstheme="minorHAnsi"/>
                <w:sz w:val="24"/>
                <w:szCs w:val="24"/>
              </w:rPr>
              <w:t xml:space="preserve">faglærer Søren Madsen, Skive College. Artiklen </w:t>
            </w:r>
            <w:r w:rsidRPr="002662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er en del af et større formidlingsmateriale fra et kursus til matematiklærere i erhvervsuddannelserne i efteråret 2021</w:t>
            </w:r>
            <w:r w:rsidR="00385DB2" w:rsidRPr="002662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</w:t>
            </w:r>
            <w:r w:rsidRPr="002662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arrangeret og gennemført af Børne- og Undervisningsministeriet, Nationalt Center for Erhvervspædagogik, Københavns Professionshøjskole m.fl. </w:t>
            </w:r>
          </w:p>
          <w:p w14:paraId="15630554" w14:textId="77777777" w:rsidR="009C5374" w:rsidRDefault="009C5374" w:rsidP="00CA04BA">
            <w:pPr>
              <w:pStyle w:val="TableParagraph"/>
              <w:tabs>
                <w:tab w:val="left" w:pos="828"/>
                <w:tab w:val="left" w:pos="829"/>
              </w:tabs>
              <w:ind w:left="0" w:right="210"/>
              <w:rPr>
                <w:rFonts w:asciiTheme="majorHAnsi" w:hAnsiTheme="majorHAnsi" w:cstheme="majorHAnsi"/>
                <w:b/>
              </w:rPr>
            </w:pPr>
          </w:p>
          <w:p w14:paraId="6145E48C" w14:textId="73A1A989" w:rsidR="00783438" w:rsidRPr="00DA3A5A" w:rsidRDefault="00783438" w:rsidP="007A70DB">
            <w:pPr>
              <w:pStyle w:val="TableParagraph"/>
              <w:tabs>
                <w:tab w:val="left" w:pos="828"/>
                <w:tab w:val="left" w:pos="829"/>
              </w:tabs>
              <w:ind w:left="0" w:right="210"/>
              <w:rPr>
                <w:rFonts w:asciiTheme="majorHAnsi" w:hAnsiTheme="majorHAnsi" w:cstheme="majorHAnsi"/>
                <w:b/>
              </w:rPr>
            </w:pPr>
          </w:p>
        </w:tc>
      </w:tr>
      <w:tr w:rsidR="00CE47E0" w:rsidRPr="00DA3A5A" w14:paraId="15D1667E" w14:textId="77777777" w:rsidTr="00E47E72">
        <w:trPr>
          <w:trHeight w:val="399"/>
        </w:trPr>
        <w:tc>
          <w:tcPr>
            <w:tcW w:w="1810" w:type="dxa"/>
            <w:shd w:val="clear" w:color="auto" w:fill="EAF0DD"/>
          </w:tcPr>
          <w:p w14:paraId="15F494F6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>Bilag</w:t>
            </w:r>
          </w:p>
        </w:tc>
        <w:tc>
          <w:tcPr>
            <w:tcW w:w="7970" w:type="dxa"/>
          </w:tcPr>
          <w:p w14:paraId="56B90078" w14:textId="1CBCA615" w:rsidR="00586E60" w:rsidRDefault="00895529" w:rsidP="00DC32BB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108" w:right="21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32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Søren Madsen: </w:t>
            </w:r>
            <w:r w:rsidR="00FA4999" w:rsidRPr="003E3C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Praksisnær matematikopgave </w:t>
            </w:r>
            <w:r w:rsidRPr="003E3C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med Thinglink </w:t>
            </w:r>
            <w:r w:rsidR="00FA4999" w:rsidRPr="003E3C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på </w:t>
            </w:r>
            <w:r w:rsidR="00BB44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</w:t>
            </w:r>
            <w:r w:rsidR="008825D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ræfagenes </w:t>
            </w:r>
            <w:r w:rsidR="00BB44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B</w:t>
            </w:r>
            <w:r w:rsidR="008825D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yggeuddannelse</w:t>
            </w:r>
            <w:r w:rsidRPr="00DC32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hyperlink r:id="rId6" w:history="1">
              <w:r w:rsidR="00DC32BB" w:rsidRPr="00DC32BB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https://www.thinglink.com/scene/1513809177309347841</w:t>
              </w:r>
            </w:hyperlink>
            <w:r w:rsidR="00DC32BB" w:rsidRPr="00DC32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6DE4D8B" w14:textId="798822B3" w:rsidR="00605D41" w:rsidRDefault="00605D41" w:rsidP="00DC32BB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108" w:right="21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3036F4A" w14:textId="2E3F8AB5" w:rsidR="00586E60" w:rsidRPr="00DA3A5A" w:rsidRDefault="00586E60" w:rsidP="0080061F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108" w:right="210"/>
              <w:rPr>
                <w:rFonts w:asciiTheme="majorHAnsi" w:hAnsiTheme="majorHAnsi" w:cstheme="majorHAnsi"/>
                <w:b/>
              </w:rPr>
            </w:pPr>
          </w:p>
        </w:tc>
      </w:tr>
      <w:tr w:rsidR="00CE47E0" w:rsidRPr="00DA3A5A" w14:paraId="37F8744C" w14:textId="77777777" w:rsidTr="00E47E72">
        <w:trPr>
          <w:trHeight w:val="672"/>
        </w:trPr>
        <w:tc>
          <w:tcPr>
            <w:tcW w:w="1810" w:type="dxa"/>
            <w:shd w:val="clear" w:color="auto" w:fill="EAF0DD"/>
          </w:tcPr>
          <w:p w14:paraId="1D55A5E0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>Referencer</w:t>
            </w:r>
          </w:p>
        </w:tc>
        <w:tc>
          <w:tcPr>
            <w:tcW w:w="7970" w:type="dxa"/>
          </w:tcPr>
          <w:p w14:paraId="3E2DF511" w14:textId="4A73C981" w:rsidR="0049351D" w:rsidRPr="00DC32BB" w:rsidRDefault="0049351D" w:rsidP="005040E3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right="21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C32BB">
              <w:rPr>
                <w:rFonts w:asciiTheme="minorHAnsi" w:hAnsiTheme="minorHAnsi" w:cstheme="minorHAnsi"/>
                <w:bCs/>
                <w:sz w:val="24"/>
                <w:szCs w:val="24"/>
              </w:rPr>
              <w:t>Center for IT i Undervisningen</w:t>
            </w:r>
            <w:r w:rsidR="0082313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(2020)</w:t>
            </w:r>
            <w:r w:rsidRPr="00DC32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DC32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Thinglink i undervisningen – gør dine billeder og videoer interaktive</w:t>
            </w:r>
            <w:r w:rsidR="00083E89" w:rsidRPr="00DC32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hyperlink r:id="rId7" w:history="1">
              <w:r w:rsidR="00083E89" w:rsidRPr="00DC32BB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https://videnscenterportalen.dk/ciu/katalog/thinglink-i-undervisningen-goer-dine-billeder-og-videoer-interaktive/</w:t>
              </w:r>
            </w:hyperlink>
            <w:r w:rsidR="00083E89" w:rsidRPr="00DC32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9C93B64" w14:textId="5991D699" w:rsidR="005040E3" w:rsidRPr="00DA3A5A" w:rsidRDefault="005040E3" w:rsidP="005040E3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right="211"/>
              <w:rPr>
                <w:rFonts w:asciiTheme="majorHAnsi" w:hAnsiTheme="majorHAnsi" w:cstheme="majorHAnsi"/>
                <w:b/>
              </w:rPr>
            </w:pPr>
          </w:p>
        </w:tc>
      </w:tr>
    </w:tbl>
    <w:p w14:paraId="519262F2" w14:textId="77777777" w:rsidR="001419B7" w:rsidRDefault="001419B7"/>
    <w:sectPr w:rsidR="001419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0C6B1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4AEC1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907C51"/>
    <w:multiLevelType w:val="multilevel"/>
    <w:tmpl w:val="E05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79DF"/>
    <w:multiLevelType w:val="hybridMultilevel"/>
    <w:tmpl w:val="0B74D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0E6"/>
    <w:multiLevelType w:val="hybridMultilevel"/>
    <w:tmpl w:val="42A40912"/>
    <w:lvl w:ilvl="0" w:tplc="68F8833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87" w:hanging="360"/>
      </w:pPr>
    </w:lvl>
    <w:lvl w:ilvl="2" w:tplc="0406001B" w:tentative="1">
      <w:start w:val="1"/>
      <w:numFmt w:val="lowerRoman"/>
      <w:lvlText w:val="%3."/>
      <w:lvlJc w:val="right"/>
      <w:pPr>
        <w:ind w:left="2007" w:hanging="180"/>
      </w:pPr>
    </w:lvl>
    <w:lvl w:ilvl="3" w:tplc="0406000F" w:tentative="1">
      <w:start w:val="1"/>
      <w:numFmt w:val="decimal"/>
      <w:lvlText w:val="%4."/>
      <w:lvlJc w:val="left"/>
      <w:pPr>
        <w:ind w:left="2727" w:hanging="360"/>
      </w:pPr>
    </w:lvl>
    <w:lvl w:ilvl="4" w:tplc="04060019" w:tentative="1">
      <w:start w:val="1"/>
      <w:numFmt w:val="lowerLetter"/>
      <w:lvlText w:val="%5."/>
      <w:lvlJc w:val="left"/>
      <w:pPr>
        <w:ind w:left="3447" w:hanging="360"/>
      </w:pPr>
    </w:lvl>
    <w:lvl w:ilvl="5" w:tplc="0406001B" w:tentative="1">
      <w:start w:val="1"/>
      <w:numFmt w:val="lowerRoman"/>
      <w:lvlText w:val="%6."/>
      <w:lvlJc w:val="right"/>
      <w:pPr>
        <w:ind w:left="4167" w:hanging="180"/>
      </w:pPr>
    </w:lvl>
    <w:lvl w:ilvl="6" w:tplc="0406000F" w:tentative="1">
      <w:start w:val="1"/>
      <w:numFmt w:val="decimal"/>
      <w:lvlText w:val="%7."/>
      <w:lvlJc w:val="left"/>
      <w:pPr>
        <w:ind w:left="4887" w:hanging="360"/>
      </w:pPr>
    </w:lvl>
    <w:lvl w:ilvl="7" w:tplc="04060019" w:tentative="1">
      <w:start w:val="1"/>
      <w:numFmt w:val="lowerLetter"/>
      <w:lvlText w:val="%8."/>
      <w:lvlJc w:val="left"/>
      <w:pPr>
        <w:ind w:left="5607" w:hanging="360"/>
      </w:pPr>
    </w:lvl>
    <w:lvl w:ilvl="8" w:tplc="040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4D3412CB"/>
    <w:multiLevelType w:val="multilevel"/>
    <w:tmpl w:val="356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22A19"/>
    <w:multiLevelType w:val="hybridMultilevel"/>
    <w:tmpl w:val="8EB8D394"/>
    <w:lvl w:ilvl="0" w:tplc="911C5ED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742AF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11DC64B2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86109A3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B8DAFB1C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2CDC73E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CE005E8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3A28588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46B28AC2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7" w15:restartNumberingAfterBreak="0">
    <w:nsid w:val="55241B3F"/>
    <w:multiLevelType w:val="multilevel"/>
    <w:tmpl w:val="FAF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D79FF"/>
    <w:multiLevelType w:val="hybridMultilevel"/>
    <w:tmpl w:val="E04A382C"/>
    <w:lvl w:ilvl="0" w:tplc="5592552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934F58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6FFCAF04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9A0E82F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3D2AFCD2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C352D59E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87100676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B54C220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F322FBEA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9" w15:restartNumberingAfterBreak="0">
    <w:nsid w:val="68E86A56"/>
    <w:multiLevelType w:val="hybridMultilevel"/>
    <w:tmpl w:val="69569EE8"/>
    <w:lvl w:ilvl="0" w:tplc="A6FCB89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EE06FC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31ACE6FC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019E894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E10C1506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E30E4F5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FDE057C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A658ED0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2786A588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10" w15:restartNumberingAfterBreak="0">
    <w:nsid w:val="73556092"/>
    <w:multiLevelType w:val="hybridMultilevel"/>
    <w:tmpl w:val="0BBA302A"/>
    <w:lvl w:ilvl="0" w:tplc="3A46F14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39E0F9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DB2EF7B0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C3144BC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143C88FA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8A987A9C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0E94A0C4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6D8B42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3FEEDA3A">
      <w:numFmt w:val="bullet"/>
      <w:lvlText w:val="•"/>
      <w:lvlJc w:val="left"/>
      <w:pPr>
        <w:ind w:left="6532" w:hanging="36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E0"/>
    <w:rsid w:val="00002C97"/>
    <w:rsid w:val="0001283C"/>
    <w:rsid w:val="00025851"/>
    <w:rsid w:val="00031D7B"/>
    <w:rsid w:val="000326C4"/>
    <w:rsid w:val="000401E3"/>
    <w:rsid w:val="00040D2C"/>
    <w:rsid w:val="00047BC7"/>
    <w:rsid w:val="00063BB9"/>
    <w:rsid w:val="000741F9"/>
    <w:rsid w:val="00083E89"/>
    <w:rsid w:val="00092BF1"/>
    <w:rsid w:val="00093C2C"/>
    <w:rsid w:val="00096F1C"/>
    <w:rsid w:val="000A172B"/>
    <w:rsid w:val="000A5C89"/>
    <w:rsid w:val="000A745D"/>
    <w:rsid w:val="000B30B5"/>
    <w:rsid w:val="000B600D"/>
    <w:rsid w:val="000C2516"/>
    <w:rsid w:val="000D0315"/>
    <w:rsid w:val="000D1864"/>
    <w:rsid w:val="000E3AE6"/>
    <w:rsid w:val="000E6CBA"/>
    <w:rsid w:val="000F53F6"/>
    <w:rsid w:val="00104B36"/>
    <w:rsid w:val="001150F9"/>
    <w:rsid w:val="001419B7"/>
    <w:rsid w:val="0015594B"/>
    <w:rsid w:val="001728A5"/>
    <w:rsid w:val="0017505C"/>
    <w:rsid w:val="00175625"/>
    <w:rsid w:val="00183C4B"/>
    <w:rsid w:val="001932A8"/>
    <w:rsid w:val="00195A3C"/>
    <w:rsid w:val="001A623B"/>
    <w:rsid w:val="001B5021"/>
    <w:rsid w:val="001C4571"/>
    <w:rsid w:val="001C6453"/>
    <w:rsid w:val="001D4314"/>
    <w:rsid w:val="001D4D2B"/>
    <w:rsid w:val="001E4EF6"/>
    <w:rsid w:val="001E6CCD"/>
    <w:rsid w:val="001F0D2B"/>
    <w:rsid w:val="00200DE5"/>
    <w:rsid w:val="002027BC"/>
    <w:rsid w:val="00203AA9"/>
    <w:rsid w:val="002059BA"/>
    <w:rsid w:val="00205F99"/>
    <w:rsid w:val="002116BE"/>
    <w:rsid w:val="00220E6B"/>
    <w:rsid w:val="002255CF"/>
    <w:rsid w:val="00240367"/>
    <w:rsid w:val="00257DFD"/>
    <w:rsid w:val="0026214B"/>
    <w:rsid w:val="002662F4"/>
    <w:rsid w:val="0027414A"/>
    <w:rsid w:val="00292C78"/>
    <w:rsid w:val="002A2DE8"/>
    <w:rsid w:val="002A6628"/>
    <w:rsid w:val="002A79B5"/>
    <w:rsid w:val="002D09C6"/>
    <w:rsid w:val="002D2B23"/>
    <w:rsid w:val="002E285A"/>
    <w:rsid w:val="003016B1"/>
    <w:rsid w:val="00326F93"/>
    <w:rsid w:val="00337F82"/>
    <w:rsid w:val="0034186B"/>
    <w:rsid w:val="00345EBB"/>
    <w:rsid w:val="00350941"/>
    <w:rsid w:val="00360467"/>
    <w:rsid w:val="00361065"/>
    <w:rsid w:val="0037737D"/>
    <w:rsid w:val="00385DB2"/>
    <w:rsid w:val="00385E63"/>
    <w:rsid w:val="0038730B"/>
    <w:rsid w:val="00392D24"/>
    <w:rsid w:val="0039596F"/>
    <w:rsid w:val="003C3322"/>
    <w:rsid w:val="003E0B2B"/>
    <w:rsid w:val="003E3CAC"/>
    <w:rsid w:val="003E475C"/>
    <w:rsid w:val="003E6C72"/>
    <w:rsid w:val="003E71C5"/>
    <w:rsid w:val="003F2FCF"/>
    <w:rsid w:val="00401805"/>
    <w:rsid w:val="00407118"/>
    <w:rsid w:val="0044021F"/>
    <w:rsid w:val="00443091"/>
    <w:rsid w:val="00447CC6"/>
    <w:rsid w:val="00453157"/>
    <w:rsid w:val="004553BC"/>
    <w:rsid w:val="00455DCA"/>
    <w:rsid w:val="004704F5"/>
    <w:rsid w:val="00477378"/>
    <w:rsid w:val="00480814"/>
    <w:rsid w:val="0048122F"/>
    <w:rsid w:val="00483596"/>
    <w:rsid w:val="00487D95"/>
    <w:rsid w:val="00490273"/>
    <w:rsid w:val="0049339E"/>
    <w:rsid w:val="0049351D"/>
    <w:rsid w:val="004A2C43"/>
    <w:rsid w:val="004A7C27"/>
    <w:rsid w:val="004B6CCA"/>
    <w:rsid w:val="004B7033"/>
    <w:rsid w:val="004C24EC"/>
    <w:rsid w:val="004C3AED"/>
    <w:rsid w:val="004C6A7A"/>
    <w:rsid w:val="004D0368"/>
    <w:rsid w:val="004E1912"/>
    <w:rsid w:val="004E387B"/>
    <w:rsid w:val="004F2B8E"/>
    <w:rsid w:val="004F6303"/>
    <w:rsid w:val="005040E3"/>
    <w:rsid w:val="00506F2E"/>
    <w:rsid w:val="005119F1"/>
    <w:rsid w:val="0051567C"/>
    <w:rsid w:val="00551A00"/>
    <w:rsid w:val="005542B6"/>
    <w:rsid w:val="00555F85"/>
    <w:rsid w:val="00565BCD"/>
    <w:rsid w:val="00570768"/>
    <w:rsid w:val="0057787F"/>
    <w:rsid w:val="00586E60"/>
    <w:rsid w:val="00590288"/>
    <w:rsid w:val="00596B92"/>
    <w:rsid w:val="005A54FD"/>
    <w:rsid w:val="005C7762"/>
    <w:rsid w:val="005D377C"/>
    <w:rsid w:val="005D6337"/>
    <w:rsid w:val="005D7917"/>
    <w:rsid w:val="005E5564"/>
    <w:rsid w:val="005F6187"/>
    <w:rsid w:val="006019B4"/>
    <w:rsid w:val="00605D41"/>
    <w:rsid w:val="0061422B"/>
    <w:rsid w:val="006161C8"/>
    <w:rsid w:val="00620AE0"/>
    <w:rsid w:val="00620D8C"/>
    <w:rsid w:val="00634F71"/>
    <w:rsid w:val="00636E32"/>
    <w:rsid w:val="00641688"/>
    <w:rsid w:val="006625A9"/>
    <w:rsid w:val="006703D9"/>
    <w:rsid w:val="00671BBA"/>
    <w:rsid w:val="006963E4"/>
    <w:rsid w:val="006B1A71"/>
    <w:rsid w:val="006B31A7"/>
    <w:rsid w:val="006C28C5"/>
    <w:rsid w:val="006D4804"/>
    <w:rsid w:val="00707B46"/>
    <w:rsid w:val="0071459E"/>
    <w:rsid w:val="00717E36"/>
    <w:rsid w:val="00722FAA"/>
    <w:rsid w:val="007332FA"/>
    <w:rsid w:val="007459C6"/>
    <w:rsid w:val="00783438"/>
    <w:rsid w:val="00791BFD"/>
    <w:rsid w:val="00792505"/>
    <w:rsid w:val="007A124B"/>
    <w:rsid w:val="007A127A"/>
    <w:rsid w:val="007A66E5"/>
    <w:rsid w:val="007A70DB"/>
    <w:rsid w:val="007C53F7"/>
    <w:rsid w:val="007C5BF9"/>
    <w:rsid w:val="007E4CB8"/>
    <w:rsid w:val="007F4386"/>
    <w:rsid w:val="0080061F"/>
    <w:rsid w:val="00801FDF"/>
    <w:rsid w:val="00812600"/>
    <w:rsid w:val="0082313D"/>
    <w:rsid w:val="0083361A"/>
    <w:rsid w:val="0083670A"/>
    <w:rsid w:val="00840A07"/>
    <w:rsid w:val="00840D80"/>
    <w:rsid w:val="00842413"/>
    <w:rsid w:val="00845832"/>
    <w:rsid w:val="00857281"/>
    <w:rsid w:val="008750AB"/>
    <w:rsid w:val="008825DC"/>
    <w:rsid w:val="00895529"/>
    <w:rsid w:val="008A1292"/>
    <w:rsid w:val="008A47AF"/>
    <w:rsid w:val="008A5654"/>
    <w:rsid w:val="008B509D"/>
    <w:rsid w:val="008B72A1"/>
    <w:rsid w:val="008C24CB"/>
    <w:rsid w:val="008D0768"/>
    <w:rsid w:val="00900FF2"/>
    <w:rsid w:val="009075CE"/>
    <w:rsid w:val="009117A1"/>
    <w:rsid w:val="00924E27"/>
    <w:rsid w:val="00931880"/>
    <w:rsid w:val="00935893"/>
    <w:rsid w:val="00966EDC"/>
    <w:rsid w:val="009848C2"/>
    <w:rsid w:val="00991CDF"/>
    <w:rsid w:val="009A54D4"/>
    <w:rsid w:val="009B223B"/>
    <w:rsid w:val="009C524F"/>
    <w:rsid w:val="009C5374"/>
    <w:rsid w:val="009C642E"/>
    <w:rsid w:val="009E7902"/>
    <w:rsid w:val="009F7758"/>
    <w:rsid w:val="00A31FC2"/>
    <w:rsid w:val="00A3360A"/>
    <w:rsid w:val="00A360E0"/>
    <w:rsid w:val="00A424DB"/>
    <w:rsid w:val="00A432C9"/>
    <w:rsid w:val="00A54E91"/>
    <w:rsid w:val="00A61AD2"/>
    <w:rsid w:val="00A636E8"/>
    <w:rsid w:val="00A64483"/>
    <w:rsid w:val="00A87D65"/>
    <w:rsid w:val="00A9165F"/>
    <w:rsid w:val="00AA0269"/>
    <w:rsid w:val="00AA2708"/>
    <w:rsid w:val="00AA6AAA"/>
    <w:rsid w:val="00AB4B13"/>
    <w:rsid w:val="00AD648C"/>
    <w:rsid w:val="00AE2A41"/>
    <w:rsid w:val="00AE48E5"/>
    <w:rsid w:val="00B05B0A"/>
    <w:rsid w:val="00B16A72"/>
    <w:rsid w:val="00B22BCC"/>
    <w:rsid w:val="00B22CF9"/>
    <w:rsid w:val="00B234A5"/>
    <w:rsid w:val="00B2531B"/>
    <w:rsid w:val="00B271C3"/>
    <w:rsid w:val="00B319E8"/>
    <w:rsid w:val="00B32680"/>
    <w:rsid w:val="00B34EDE"/>
    <w:rsid w:val="00B52887"/>
    <w:rsid w:val="00B53AFE"/>
    <w:rsid w:val="00B57D12"/>
    <w:rsid w:val="00B61790"/>
    <w:rsid w:val="00B7166B"/>
    <w:rsid w:val="00B71D1C"/>
    <w:rsid w:val="00B846DD"/>
    <w:rsid w:val="00BA76E1"/>
    <w:rsid w:val="00BA7E02"/>
    <w:rsid w:val="00BB4411"/>
    <w:rsid w:val="00BB7541"/>
    <w:rsid w:val="00BC443E"/>
    <w:rsid w:val="00BC4983"/>
    <w:rsid w:val="00BD79C9"/>
    <w:rsid w:val="00BF4B5F"/>
    <w:rsid w:val="00C01C61"/>
    <w:rsid w:val="00C0325D"/>
    <w:rsid w:val="00C060EC"/>
    <w:rsid w:val="00C133AA"/>
    <w:rsid w:val="00C25F96"/>
    <w:rsid w:val="00C30C32"/>
    <w:rsid w:val="00C3683A"/>
    <w:rsid w:val="00C4447F"/>
    <w:rsid w:val="00C4485D"/>
    <w:rsid w:val="00C45C8E"/>
    <w:rsid w:val="00C50A6D"/>
    <w:rsid w:val="00C60829"/>
    <w:rsid w:val="00C60F4C"/>
    <w:rsid w:val="00C77C04"/>
    <w:rsid w:val="00C800AE"/>
    <w:rsid w:val="00C85967"/>
    <w:rsid w:val="00C91656"/>
    <w:rsid w:val="00C94E73"/>
    <w:rsid w:val="00CA04BA"/>
    <w:rsid w:val="00CA7517"/>
    <w:rsid w:val="00CB10A0"/>
    <w:rsid w:val="00CB3F5B"/>
    <w:rsid w:val="00CC12B3"/>
    <w:rsid w:val="00CD070F"/>
    <w:rsid w:val="00CD30D8"/>
    <w:rsid w:val="00CE159C"/>
    <w:rsid w:val="00CE47E0"/>
    <w:rsid w:val="00CE622B"/>
    <w:rsid w:val="00CF2D50"/>
    <w:rsid w:val="00CF3B3B"/>
    <w:rsid w:val="00D015BB"/>
    <w:rsid w:val="00D411FA"/>
    <w:rsid w:val="00D46997"/>
    <w:rsid w:val="00D721A7"/>
    <w:rsid w:val="00D9695E"/>
    <w:rsid w:val="00DC32BB"/>
    <w:rsid w:val="00DD1168"/>
    <w:rsid w:val="00DD1A98"/>
    <w:rsid w:val="00DD271C"/>
    <w:rsid w:val="00DE44BD"/>
    <w:rsid w:val="00DE5726"/>
    <w:rsid w:val="00E1062A"/>
    <w:rsid w:val="00E319FD"/>
    <w:rsid w:val="00E34CCB"/>
    <w:rsid w:val="00E559A2"/>
    <w:rsid w:val="00E73087"/>
    <w:rsid w:val="00E765FA"/>
    <w:rsid w:val="00E828E0"/>
    <w:rsid w:val="00E90BC1"/>
    <w:rsid w:val="00EB2CAD"/>
    <w:rsid w:val="00EC40B7"/>
    <w:rsid w:val="00EC7C39"/>
    <w:rsid w:val="00EE32A7"/>
    <w:rsid w:val="00EE4B98"/>
    <w:rsid w:val="00F0196B"/>
    <w:rsid w:val="00F13C56"/>
    <w:rsid w:val="00F144AB"/>
    <w:rsid w:val="00F216A0"/>
    <w:rsid w:val="00F27028"/>
    <w:rsid w:val="00F273C0"/>
    <w:rsid w:val="00F463E0"/>
    <w:rsid w:val="00F63831"/>
    <w:rsid w:val="00F77BEA"/>
    <w:rsid w:val="00F80EF1"/>
    <w:rsid w:val="00F81572"/>
    <w:rsid w:val="00F85C0E"/>
    <w:rsid w:val="00FA11FA"/>
    <w:rsid w:val="00FA3041"/>
    <w:rsid w:val="00FA4999"/>
    <w:rsid w:val="00FB10F6"/>
    <w:rsid w:val="00FB294E"/>
    <w:rsid w:val="00FC2158"/>
    <w:rsid w:val="00FC2DBB"/>
    <w:rsid w:val="00FD28A5"/>
    <w:rsid w:val="00FD4DBF"/>
    <w:rsid w:val="00FE125B"/>
    <w:rsid w:val="00FF333E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3CFC"/>
  <w15:chartTrackingRefBased/>
  <w15:docId w15:val="{489F9DFB-18F6-4119-8C2E-B406059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7E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4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4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4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47E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47E0"/>
    <w:pPr>
      <w:ind w:left="107"/>
    </w:pPr>
  </w:style>
  <w:style w:type="paragraph" w:styleId="NormalWeb">
    <w:name w:val="Normal (Web)"/>
    <w:basedOn w:val="Normal"/>
    <w:uiPriority w:val="99"/>
    <w:unhideWhenUsed/>
    <w:rsid w:val="00801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83E8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83E89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2A6628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4C24EC"/>
    <w:pPr>
      <w:numPr>
        <w:numId w:val="9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215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215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2158"/>
    <w:rPr>
      <w:rFonts w:ascii="Garamond" w:eastAsia="Garamond" w:hAnsi="Garamond" w:cs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21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2158"/>
    <w:rPr>
      <w:rFonts w:ascii="Garamond" w:eastAsia="Garamond" w:hAnsi="Garamond" w:cs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15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158"/>
    <w:rPr>
      <w:rFonts w:ascii="Segoe UI" w:eastAsia="Garamond" w:hAnsi="Segoe UI" w:cs="Segoe UI"/>
      <w:sz w:val="18"/>
      <w:szCs w:val="18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2116BE"/>
    <w:rPr>
      <w:color w:val="605E5C"/>
      <w:shd w:val="clear" w:color="auto" w:fill="E1DFDD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0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0DE5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200DE5"/>
  </w:style>
  <w:style w:type="paragraph" w:styleId="Listeafsnit">
    <w:name w:val="List Paragraph"/>
    <w:basedOn w:val="Normal"/>
    <w:uiPriority w:val="34"/>
    <w:qFormat/>
    <w:rsid w:val="00361065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0325D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4E387B"/>
    <w:pPr>
      <w:spacing w:after="0" w:line="240" w:lineRule="auto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nscenterportalen.dk/ciu/katalog/thinglink-i-undervisningen-goer-dine-billeder-og-videoer-interak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scene/1513809177309347841" TargetMode="External"/><Relationship Id="rId5" Type="http://schemas.openxmlformats.org/officeDocument/2006/relationships/hyperlink" Target="https://support.thinglink.com/hc/en-us/articles/3600226408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Christensen</dc:creator>
  <cp:keywords/>
  <dc:description/>
  <cp:lastModifiedBy>Jan Christensen</cp:lastModifiedBy>
  <cp:revision>5</cp:revision>
  <dcterms:created xsi:type="dcterms:W3CDTF">2022-02-11T10:07:00Z</dcterms:created>
  <dcterms:modified xsi:type="dcterms:W3CDTF">2022-02-11T10:29:00Z</dcterms:modified>
</cp:coreProperties>
</file>